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Maddy French</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Iezzi</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HCS</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10 March 2015</w:t>
      </w:r>
    </w:p>
    <w:p w:rsidP="00000000" w:rsidRPr="00000000" w:rsidR="00000000" w:rsidDel="00000000" w:rsidRDefault="00000000">
      <w:pPr>
        <w:spacing w:lineRule="auto" w:line="480"/>
        <w:contextualSpacing w:val="0"/>
        <w:jc w:val="center"/>
      </w:pPr>
      <w:r w:rsidRPr="00000000" w:rsidR="00000000" w:rsidDel="00000000">
        <w:rPr>
          <w:rFonts w:cs="Times New Roman" w:hAnsi="Times New Roman" w:eastAsia="Times New Roman" w:ascii="Times New Roman"/>
          <w:sz w:val="24"/>
          <w:u w:val="single"/>
          <w:rtl w:val="0"/>
        </w:rPr>
        <w:t xml:space="preserve">Valuable Website</w:t>
      </w:r>
    </w:p>
    <w:p w:rsidP="00000000" w:rsidRPr="00000000" w:rsidR="00000000" w:rsidDel="00000000" w:rsidRDefault="00000000">
      <w:pPr>
        <w:spacing w:lineRule="auto" w:line="480"/>
        <w:contextualSpacing w:val="0"/>
        <w:jc w:val="center"/>
      </w:pPr>
      <w:hyperlink r:id="rId5">
        <w:r w:rsidRPr="00000000" w:rsidR="00000000" w:rsidDel="00000000">
          <w:rPr>
            <w:rFonts w:cs="Times New Roman" w:hAnsi="Times New Roman" w:eastAsia="Times New Roman" w:ascii="Times New Roman"/>
            <w:color w:val="1155cc"/>
            <w:sz w:val="24"/>
            <w:u w:val="single"/>
            <w:rtl w:val="0"/>
          </w:rPr>
          <w:t xml:space="preserve">http://www.brookings.edu/events/2013/05/06-education-india</w:t>
        </w:r>
      </w:hyperlink>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u w:val="single"/>
          <w:rtl w:val="0"/>
        </w:rPr>
        <w:tab/>
      </w:r>
      <w:r w:rsidRPr="00000000" w:rsidR="00000000" w:rsidDel="00000000">
        <w:rPr>
          <w:rFonts w:cs="Times New Roman" w:hAnsi="Times New Roman" w:eastAsia="Times New Roman" w:ascii="Times New Roman"/>
          <w:sz w:val="24"/>
          <w:rtl w:val="0"/>
        </w:rPr>
        <w:t xml:space="preserve">Containing valuable information and important connections, the website about improving education and learning outcomes in India relates to the slow modernization discussed in the changing patterns of life section. Brookings Institution is an American think tank organization that researches social sciences, economics, metropolitan policy, governance, foreign policy, and the global economy and development. Summarizing a discussion that was held about educational reform in India conducted by the Center for Universal Education (CUE), the article includes information about how education has improved in some places, but in many traditional villages boys are still receiving more education than girls. The article provides a basic overview of what parts of the education systems need to be improved to provide equal and necessary educational services for the increasing adolescent population. This website is very useful as it will provide a balanced perspective for students wishing to understand how education is so important in allowing India to modernize. By using percentages and statistics to further support how many children are with or without education, a reader is able to understand more clearly how much equal education is needed. With different people reporting from educational organizations, knowledge can be accumulated about how many children are still without education and how many villages have gained educational services. A source such as this that provides accurate and reliable information allows for connections between the effects of education on Indian people and how the effects change the lives of the people.</w:t>
      </w:r>
    </w:p>
    <w:p w:rsidP="00000000" w:rsidRPr="00000000" w:rsidR="00000000" w:rsidDel="00000000" w:rsidRDefault="00000000">
      <w:pPr>
        <w:spacing w:lineRule="auto" w:line="480"/>
        <w:contextualSpacing w:val="0"/>
      </w:pPr>
      <w:r w:rsidRPr="00000000" w:rsidR="00000000" w:rsidDel="00000000">
        <w:rPr>
          <w:rtl w:val="0"/>
        </w:rPr>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brookings.edu/events/2013/05/06-education-india" Type="http://schemas.openxmlformats.org/officeDocument/2006/relationships/hyperlink" TargetMode="External" Id="rId5"/></Relationships>
</file>